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2231" w14:textId="1836FC5A" w:rsidR="009865E7" w:rsidRDefault="009865E7" w:rsidP="009865E7">
      <w:pPr>
        <w:spacing w:after="0" w:line="240" w:lineRule="auto"/>
        <w:jc w:val="center"/>
        <w:rPr>
          <w:i/>
          <w:iCs/>
          <w:sz w:val="24"/>
          <w:szCs w:val="24"/>
        </w:rPr>
      </w:pPr>
      <w:r>
        <w:rPr>
          <w:b/>
          <w:bCs/>
          <w:sz w:val="24"/>
          <w:szCs w:val="24"/>
        </w:rPr>
        <w:t>14 Octo</w:t>
      </w:r>
      <w:r w:rsidRPr="002675F8">
        <w:rPr>
          <w:b/>
          <w:bCs/>
          <w:sz w:val="24"/>
          <w:szCs w:val="24"/>
        </w:rPr>
        <w:t xml:space="preserve">ber 2025 </w:t>
      </w:r>
      <w:r>
        <w:rPr>
          <w:b/>
          <w:bCs/>
          <w:sz w:val="24"/>
          <w:szCs w:val="24"/>
        </w:rPr>
        <w:t xml:space="preserve">/ </w:t>
      </w:r>
      <w:r w:rsidRPr="002675F8">
        <w:rPr>
          <w:i/>
          <w:iCs/>
          <w:sz w:val="24"/>
          <w:szCs w:val="24"/>
        </w:rPr>
        <w:t>current concerns 2-01</w:t>
      </w:r>
      <w:r>
        <w:rPr>
          <w:i/>
          <w:iCs/>
          <w:sz w:val="24"/>
          <w:szCs w:val="24"/>
        </w:rPr>
        <w:t xml:space="preserve">7 </w:t>
      </w:r>
    </w:p>
    <w:p w14:paraId="01EB97DB" w14:textId="77777777" w:rsidR="009865E7" w:rsidRDefault="009865E7" w:rsidP="009865E7">
      <w:pPr>
        <w:spacing w:after="0" w:line="240" w:lineRule="auto"/>
        <w:jc w:val="center"/>
        <w:rPr>
          <w:i/>
          <w:iCs/>
          <w:sz w:val="24"/>
          <w:szCs w:val="24"/>
        </w:rPr>
      </w:pPr>
    </w:p>
    <w:p w14:paraId="462D6F52" w14:textId="7EDE9B2E" w:rsidR="009865E7" w:rsidRPr="00822CB9" w:rsidRDefault="009865E7" w:rsidP="009865E7">
      <w:pPr>
        <w:spacing w:after="0" w:line="240" w:lineRule="auto"/>
        <w:jc w:val="center"/>
        <w:rPr>
          <w:i/>
          <w:iCs/>
          <w:sz w:val="24"/>
          <w:szCs w:val="24"/>
          <w:lang w:val="en-NG"/>
        </w:rPr>
      </w:pPr>
      <w:r w:rsidRPr="00822CB9">
        <w:rPr>
          <w:i/>
          <w:iCs/>
          <w:sz w:val="24"/>
          <w:szCs w:val="24"/>
        </w:rPr>
        <w:t>[This article may be freely published provide</w:t>
      </w:r>
      <w:r w:rsidR="00B47232">
        <w:rPr>
          <w:i/>
          <w:iCs/>
          <w:sz w:val="24"/>
          <w:szCs w:val="24"/>
        </w:rPr>
        <w:t>d</w:t>
      </w:r>
      <w:r w:rsidRPr="00822CB9">
        <w:rPr>
          <w:i/>
          <w:iCs/>
          <w:sz w:val="24"/>
          <w:szCs w:val="24"/>
        </w:rPr>
        <w:t xml:space="preserve"> the credit/authorship is retained. We’ll appreciate receiving a reference/link to the publication] </w:t>
      </w:r>
    </w:p>
    <w:p w14:paraId="5814708F" w14:textId="77777777" w:rsidR="009865E7" w:rsidRDefault="009865E7" w:rsidP="009865E7">
      <w:pPr>
        <w:spacing w:after="0" w:line="240" w:lineRule="auto"/>
        <w:jc w:val="center"/>
        <w:rPr>
          <w:b/>
          <w:bCs/>
        </w:rPr>
      </w:pPr>
    </w:p>
    <w:p w14:paraId="790811F6" w14:textId="6B5EAF33" w:rsidR="009865E7" w:rsidRPr="009865E7" w:rsidRDefault="009865E7" w:rsidP="00092297">
      <w:pPr>
        <w:spacing w:after="0" w:line="240" w:lineRule="auto"/>
        <w:jc w:val="center"/>
        <w:rPr>
          <w:b/>
          <w:bCs/>
          <w:sz w:val="28"/>
          <w:szCs w:val="28"/>
        </w:rPr>
      </w:pPr>
      <w:r w:rsidRPr="009865E7">
        <w:rPr>
          <w:b/>
          <w:bCs/>
          <w:sz w:val="28"/>
          <w:szCs w:val="28"/>
        </w:rPr>
        <w:t xml:space="preserve">STRENGTHENING THE ROLES OF MONITORING </w:t>
      </w:r>
      <w:r w:rsidR="005D6AC4">
        <w:rPr>
          <w:b/>
          <w:bCs/>
          <w:sz w:val="28"/>
          <w:szCs w:val="28"/>
        </w:rPr>
        <w:t>AND</w:t>
      </w:r>
      <w:r w:rsidRPr="009865E7">
        <w:rPr>
          <w:b/>
          <w:bCs/>
          <w:sz w:val="28"/>
          <w:szCs w:val="28"/>
        </w:rPr>
        <w:t xml:space="preserve"> EVALUATION (M&amp;E) IN ENSURING THE SUCCESSES OF POLICIES, PROGRAMMES AND PROJECTS</w:t>
      </w:r>
    </w:p>
    <w:p w14:paraId="113FF0C2" w14:textId="6B95644E" w:rsidR="009865E7" w:rsidRPr="001536F6" w:rsidRDefault="00096750" w:rsidP="009865E7">
      <w:pPr>
        <w:pStyle w:val="ListParagraph"/>
        <w:numPr>
          <w:ilvl w:val="0"/>
          <w:numId w:val="1"/>
        </w:numPr>
        <w:spacing w:after="0" w:line="240" w:lineRule="auto"/>
        <w:jc w:val="center"/>
        <w:rPr>
          <w:sz w:val="20"/>
          <w:szCs w:val="20"/>
          <w:lang w:val="en-NG"/>
        </w:rPr>
      </w:pPr>
      <w:r w:rsidRPr="00096750">
        <w:rPr>
          <w:sz w:val="20"/>
          <w:szCs w:val="20"/>
          <w:lang w:val="en-NG"/>
        </w:rPr>
        <w:t>&lt;https://druzodinmadirieje.blogspot.com/2025/10/strengthening-me-in-policies-projects.html&gt;</w:t>
      </w:r>
    </w:p>
    <w:p w14:paraId="777C4BF3" w14:textId="77777777" w:rsidR="00096750" w:rsidRDefault="00096750" w:rsidP="007D2ADE">
      <w:pPr>
        <w:pStyle w:val="ListParagraph"/>
        <w:spacing w:after="0" w:line="240" w:lineRule="auto"/>
        <w:jc w:val="center"/>
        <w:rPr>
          <w:i/>
          <w:iCs/>
          <w:sz w:val="24"/>
          <w:szCs w:val="24"/>
        </w:rPr>
      </w:pPr>
    </w:p>
    <w:p w14:paraId="5D03F880" w14:textId="5D35E418" w:rsidR="009865E7" w:rsidRPr="00CC1C64" w:rsidRDefault="009865E7" w:rsidP="007D2ADE">
      <w:pPr>
        <w:pStyle w:val="ListParagraph"/>
        <w:spacing w:after="0" w:line="240" w:lineRule="auto"/>
        <w:jc w:val="center"/>
        <w:rPr>
          <w:sz w:val="24"/>
          <w:szCs w:val="24"/>
          <w:lang w:val="en-NG"/>
        </w:rPr>
      </w:pPr>
      <w:r w:rsidRPr="002675F8">
        <w:rPr>
          <w:i/>
          <w:iCs/>
          <w:sz w:val="24"/>
          <w:szCs w:val="24"/>
        </w:rPr>
        <w:t>by </w:t>
      </w:r>
      <w:r w:rsidRPr="007D2ADE">
        <w:rPr>
          <w:b/>
          <w:bCs/>
          <w:i/>
          <w:iCs/>
          <w:sz w:val="28"/>
          <w:szCs w:val="28"/>
        </w:rPr>
        <w:t>Dr. Uzodinma Adirieje</w:t>
      </w:r>
      <w:r w:rsidRPr="007D2ADE">
        <w:rPr>
          <w:sz w:val="28"/>
          <w:szCs w:val="28"/>
        </w:rPr>
        <w:t>,</w:t>
      </w:r>
      <w:r w:rsidRPr="002675F8">
        <w:rPr>
          <w:sz w:val="24"/>
          <w:szCs w:val="24"/>
        </w:rPr>
        <w:t xml:space="preserve"> FAHOA</w:t>
      </w:r>
    </w:p>
    <w:p w14:paraId="7C611EE9" w14:textId="77777777" w:rsidR="009865E7" w:rsidRPr="002675F8" w:rsidRDefault="009865E7" w:rsidP="009865E7">
      <w:pPr>
        <w:pStyle w:val="ListParagraph"/>
        <w:spacing w:after="0" w:line="240" w:lineRule="auto"/>
        <w:rPr>
          <w:sz w:val="24"/>
          <w:szCs w:val="24"/>
          <w:lang w:val="en-NG"/>
        </w:rPr>
      </w:pPr>
      <w:r w:rsidRPr="002675F8">
        <w:rPr>
          <w:sz w:val="24"/>
          <w:szCs w:val="24"/>
        </w:rPr>
        <w:t> </w:t>
      </w:r>
      <w:r w:rsidRPr="001536F6">
        <w:rPr>
          <w:i/>
          <w:iCs/>
          <w:sz w:val="24"/>
          <w:szCs w:val="24"/>
        </w:rPr>
        <w:t>+2348034725905 (WhatsApp) / EMAIL</w:t>
      </w:r>
      <w:r w:rsidRPr="002675F8">
        <w:rPr>
          <w:b/>
          <w:bCs/>
          <w:i/>
          <w:iCs/>
          <w:sz w:val="24"/>
          <w:szCs w:val="24"/>
        </w:rPr>
        <w:t>: </w:t>
      </w:r>
      <w:hyperlink r:id="rId7" w:tgtFrame="_blank" w:history="1">
        <w:r w:rsidRPr="002675F8">
          <w:rPr>
            <w:rStyle w:val="Hyperlink"/>
            <w:b/>
            <w:bCs/>
            <w:sz w:val="24"/>
            <w:szCs w:val="24"/>
            <w:u w:val="none"/>
          </w:rPr>
          <w:t>druzoadirieje2015@gmail.com</w:t>
        </w:r>
      </w:hyperlink>
    </w:p>
    <w:p w14:paraId="34EBDDBC" w14:textId="77777777" w:rsidR="009865E7" w:rsidRPr="002675F8" w:rsidRDefault="009865E7" w:rsidP="009865E7">
      <w:pPr>
        <w:spacing w:after="0" w:line="240" w:lineRule="auto"/>
      </w:pPr>
      <w:r w:rsidRPr="002675F8">
        <w:t xml:space="preserve"> CEO/Programmes Director, </w:t>
      </w:r>
      <w:r w:rsidRPr="002675F8">
        <w:rPr>
          <w:b/>
          <w:bCs/>
        </w:rPr>
        <w:t xml:space="preserve">Afrihealth Optonet Association (AHOA) </w:t>
      </w:r>
      <w:r w:rsidRPr="002675F8">
        <w:t xml:space="preserve">– CSOs Network and Think-tank </w:t>
      </w:r>
    </w:p>
    <w:p w14:paraId="57A65055" w14:textId="77777777" w:rsidR="009865E7" w:rsidRPr="00DA0D77" w:rsidRDefault="009865E7" w:rsidP="009865E7">
      <w:pPr>
        <w:spacing w:after="0" w:line="240" w:lineRule="auto"/>
        <w:jc w:val="center"/>
        <w:rPr>
          <w:i/>
          <w:iCs/>
        </w:rPr>
      </w:pPr>
      <w:r w:rsidRPr="00DA0D77">
        <w:rPr>
          <w:i/>
          <w:iCs/>
        </w:rPr>
        <w:t>follow Dr. Uzodinma Adirieje on Facebook by clicking on this link &lt;</w:t>
      </w:r>
      <w:hyperlink r:id="rId8" w:tgtFrame="_blank" w:history="1">
        <w:r w:rsidRPr="00DA0D77">
          <w:rPr>
            <w:rStyle w:val="Hyperlink"/>
            <w:i/>
            <w:iCs/>
            <w:u w:val="none"/>
          </w:rPr>
          <w:t>https://www.facebook.com/uzoadirieje</w:t>
        </w:r>
      </w:hyperlink>
      <w:r w:rsidRPr="00DA0D77">
        <w:rPr>
          <w:i/>
          <w:iCs/>
        </w:rPr>
        <w:t>&gt; to receive more posts.</w:t>
      </w:r>
    </w:p>
    <w:p w14:paraId="2264C152" w14:textId="77777777" w:rsidR="009865E7" w:rsidRPr="002675F8" w:rsidRDefault="009865E7" w:rsidP="009865E7">
      <w:pPr>
        <w:spacing w:after="0" w:line="240" w:lineRule="auto"/>
        <w:jc w:val="center"/>
      </w:pPr>
      <w:r w:rsidRPr="002675F8">
        <w:t>'Like' and comment on my posts to receive other people's responses.</w:t>
      </w:r>
    </w:p>
    <w:p w14:paraId="685FC909" w14:textId="77777777" w:rsidR="009865E7" w:rsidRDefault="009865E7" w:rsidP="00266860">
      <w:pPr>
        <w:spacing w:after="0" w:line="240" w:lineRule="auto"/>
      </w:pPr>
    </w:p>
    <w:p w14:paraId="324B9066" w14:textId="77777777" w:rsidR="00266860" w:rsidRDefault="00266860" w:rsidP="00266860">
      <w:pPr>
        <w:spacing w:after="0" w:line="240" w:lineRule="auto"/>
      </w:pPr>
    </w:p>
    <w:p w14:paraId="2D1C6B76" w14:textId="302F7158" w:rsidR="009865E7" w:rsidRDefault="009865E7" w:rsidP="00266860">
      <w:pPr>
        <w:spacing w:after="0" w:line="240" w:lineRule="auto"/>
      </w:pPr>
      <w:r>
        <w:t>INTRODUCTION</w:t>
      </w:r>
    </w:p>
    <w:p w14:paraId="17EF554D" w14:textId="30DE6529" w:rsidR="00266860" w:rsidRPr="003B4842" w:rsidRDefault="00266860" w:rsidP="003B4842">
      <w:pPr>
        <w:spacing w:after="0" w:line="240" w:lineRule="auto"/>
        <w:rPr>
          <w:rFonts w:ascii="Aptos Display" w:hAnsi="Aptos Display"/>
          <w:shd w:val="clear" w:color="auto" w:fill="FFFFFF"/>
        </w:rPr>
      </w:pPr>
      <w:r>
        <w:t>Monitoring and Evaluation (M&amp;E) is no longer a back-office activity reserved for periodic reports. In today’s fast-changing policy and program</w:t>
      </w:r>
      <w:r w:rsidR="00FA2DED">
        <w:t>me</w:t>
      </w:r>
      <w:r>
        <w:t xml:space="preserve"> environment, M&amp;E must be a central, strategic function—able to inform decisions in real time, to hold actors accountable, and to generate credible evidence of what works, for whom, and under what circumstances. Strengthening M&amp;E is therefore not optional: it is essential for ensuring the success and sustainability of policies, programmes and projects across health,</w:t>
      </w:r>
      <w:r w:rsidR="003B4842">
        <w:t xml:space="preserve"> </w:t>
      </w:r>
      <w:r w:rsidR="003B4842" w:rsidRPr="00E652C2">
        <w:rPr>
          <w:rFonts w:ascii="Aptos Display" w:hAnsi="Aptos Display"/>
          <w:shd w:val="clear" w:color="auto" w:fill="FFFFFF"/>
        </w:rPr>
        <w:t xml:space="preserve">sustainable development, governance, climate actions, partnerships, advocacy, research, equity, </w:t>
      </w:r>
      <w:r w:rsidR="00280B5A">
        <w:rPr>
          <w:rFonts w:ascii="Aptos Display" w:hAnsi="Aptos Display"/>
          <w:shd w:val="clear" w:color="auto" w:fill="FFFFFF"/>
        </w:rPr>
        <w:t xml:space="preserve">and </w:t>
      </w:r>
      <w:r w:rsidR="003B4842" w:rsidRPr="00E652C2">
        <w:rPr>
          <w:rFonts w:ascii="Aptos Display" w:hAnsi="Aptos Display"/>
          <w:shd w:val="clear" w:color="auto" w:fill="FFFFFF"/>
        </w:rPr>
        <w:t>community engagement</w:t>
      </w:r>
      <w:r>
        <w:t>.</w:t>
      </w:r>
    </w:p>
    <w:p w14:paraId="53A81FF2" w14:textId="77777777" w:rsidR="00266860" w:rsidRDefault="00266860" w:rsidP="00266860">
      <w:pPr>
        <w:spacing w:after="0" w:line="240" w:lineRule="auto"/>
      </w:pPr>
    </w:p>
    <w:p w14:paraId="73DE70DC" w14:textId="0548D3AC" w:rsidR="00266860" w:rsidRDefault="009865E7" w:rsidP="00266860">
      <w:pPr>
        <w:spacing w:after="0" w:line="240" w:lineRule="auto"/>
      </w:pPr>
      <w:r>
        <w:t>‘M&amp;E’ AS A STRATEGIC PILLAR, NOT AN AFTERTHOUGHT</w:t>
      </w:r>
    </w:p>
    <w:p w14:paraId="0EFEEFFB" w14:textId="50C499E5" w:rsidR="00266860" w:rsidRDefault="00266860" w:rsidP="00266860">
      <w:pPr>
        <w:spacing w:after="0" w:line="240" w:lineRule="auto"/>
      </w:pPr>
      <w:r>
        <w:t>Too often, M&amp;E is conceived as something that happens after program</w:t>
      </w:r>
      <w:r w:rsidR="00B855B5">
        <w:t>me</w:t>
      </w:r>
      <w:r>
        <w:t xml:space="preserve"> implementation — a box to tick to satisfy funders</w:t>
      </w:r>
      <w:r w:rsidR="00556E43">
        <w:t>, thus constraining its full value</w:t>
      </w:r>
      <w:r>
        <w:t>. When M&amp;E is embedded from the policy design stage it becomes a strategic pillar that shapes objectives, resource allocation, and implementation pathways. A strong M&amp;E function supports adaptive management</w:t>
      </w:r>
      <w:r w:rsidR="00D6471F">
        <w:t>. A</w:t>
      </w:r>
      <w:r>
        <w:t xml:space="preserve">s monitoring data reveal bottlenecks or unexpected outcomes, managers can pivot quickly, reallocate resources, or refine strategies to </w:t>
      </w:r>
      <w:r w:rsidR="00484496">
        <w:t xml:space="preserve">reach targets, achieve objectives, and </w:t>
      </w:r>
      <w:r>
        <w:t xml:space="preserve">improve impact. This </w:t>
      </w:r>
      <w:r w:rsidR="00BA25AB">
        <w:t xml:space="preserve">also </w:t>
      </w:r>
      <w:r>
        <w:t>reduces waste, mitigates risk, and accelerates learning.</w:t>
      </w:r>
    </w:p>
    <w:p w14:paraId="654922D5" w14:textId="77777777" w:rsidR="00266860" w:rsidRDefault="00266860" w:rsidP="00266860">
      <w:pPr>
        <w:spacing w:after="0" w:line="240" w:lineRule="auto"/>
      </w:pPr>
    </w:p>
    <w:p w14:paraId="41CA3D7D" w14:textId="2AC00310" w:rsidR="00266860" w:rsidRDefault="009865E7" w:rsidP="00266860">
      <w:pPr>
        <w:spacing w:after="0" w:line="240" w:lineRule="auto"/>
      </w:pPr>
      <w:r>
        <w:t>CLEAR FRAMEWORKS AND ‘SMART’ INDICATORS</w:t>
      </w:r>
    </w:p>
    <w:p w14:paraId="207A83AC" w14:textId="4CC6B706" w:rsidR="00266860" w:rsidRDefault="00266860" w:rsidP="00266860">
      <w:pPr>
        <w:spacing w:after="0" w:line="240" w:lineRule="auto"/>
      </w:pPr>
      <w:r>
        <w:t>The foundation of effective M&amp;E is clarity. Policies</w:t>
      </w:r>
      <w:r w:rsidR="00EB4573">
        <w:t>, projects</w:t>
      </w:r>
      <w:r>
        <w:t xml:space="preserve"> and programmes must define clear objectives and measurable outcomes. Using logically structured frameworks—such as results frameworks or logical frameworks—helps link inputs to outputs, outcomes and long-term impacts. Indicators should be SMART: Specific, Measurable, Achievable, Relevant and Time-bound. Well-chosen indicators avoid ambiguity and enable comparison across time and geographies. Importantly, indicators should include both quantitative and qualitative measures</w:t>
      </w:r>
      <w:r w:rsidR="00F43601">
        <w:t xml:space="preserve">. Although </w:t>
      </w:r>
      <w:r>
        <w:t>numbers tell part of the story, qualitative data reveal the lived experience, perceptions, and contextual factors that shape outcomes.</w:t>
      </w:r>
    </w:p>
    <w:p w14:paraId="171A299D" w14:textId="77777777" w:rsidR="00266860" w:rsidRDefault="00266860" w:rsidP="00266860">
      <w:pPr>
        <w:spacing w:after="0" w:line="240" w:lineRule="auto"/>
      </w:pPr>
    </w:p>
    <w:p w14:paraId="61BB347D" w14:textId="4056F51F" w:rsidR="00266860" w:rsidRDefault="009865E7" w:rsidP="00266860">
      <w:pPr>
        <w:spacing w:after="0" w:line="240" w:lineRule="auto"/>
      </w:pPr>
      <w:r>
        <w:t>ROUTINE DATA SYSTEMS AND INTEROPERABLE INFORMATION ARCHITECTURE</w:t>
      </w:r>
    </w:p>
    <w:p w14:paraId="66C4D31D" w14:textId="7A629430" w:rsidR="00266860" w:rsidRDefault="00266860" w:rsidP="00266860">
      <w:pPr>
        <w:spacing w:after="0" w:line="240" w:lineRule="auto"/>
      </w:pPr>
      <w:r>
        <w:lastRenderedPageBreak/>
        <w:t>Reliable monitoring demands routine data systems that are timely, accurate and accessible. Health management information systems, social protection registries, and program</w:t>
      </w:r>
      <w:r w:rsidR="00B855B5">
        <w:t>me</w:t>
      </w:r>
      <w:r>
        <w:t xml:space="preserve"> monitoring platforms must be strengthened to capture real-time program</w:t>
      </w:r>
      <w:r w:rsidR="00B855B5">
        <w:t>me</w:t>
      </w:r>
      <w:r>
        <w:t xml:space="preserve"> activity and service delivery metrics. Equally important is data interoperability—systems should speak to one another to avoid fragmentation and duplication. Investment in digital health and management platforms, accompanied by strong data governance and privacy safeguards, enables centralized dashboards and automated alerts that support rapid decision-making at national and sub-national levels.</w:t>
      </w:r>
    </w:p>
    <w:p w14:paraId="27E3E9EF" w14:textId="77777777" w:rsidR="00266860" w:rsidRDefault="00266860" w:rsidP="00266860">
      <w:pPr>
        <w:spacing w:after="0" w:line="240" w:lineRule="auto"/>
      </w:pPr>
    </w:p>
    <w:p w14:paraId="6D924CF7" w14:textId="580AB312" w:rsidR="00266860" w:rsidRDefault="009865E7" w:rsidP="00266860">
      <w:pPr>
        <w:spacing w:after="0" w:line="240" w:lineRule="auto"/>
      </w:pPr>
      <w:r>
        <w:t>CAPACITY BUILDING AND PROFESSIONALIZATION OF ‘M&amp;E’</w:t>
      </w:r>
    </w:p>
    <w:p w14:paraId="2274B770" w14:textId="79DB8E5F" w:rsidR="00266860" w:rsidRDefault="00266860" w:rsidP="00266860">
      <w:pPr>
        <w:spacing w:after="0" w:line="240" w:lineRule="auto"/>
      </w:pPr>
      <w:r>
        <w:t>M&amp;E is a technical discipline requiring skilled professionals. Governments and implementing organizations must invest in capacity building—training M&amp;E officers, statisticians, data managers and program</w:t>
      </w:r>
      <w:r w:rsidR="00B855B5">
        <w:t>me</w:t>
      </w:r>
      <w:r>
        <w:t xml:space="preserve"> managers in both technical skills and the softer skills of data use and communication. Professionalizing M&amp;E means creating clear career pathways, accreditation, and communities of practice where practitioners share methods, tools, and lessons learned. When M&amp;E professionals are empowered and integrated within program</w:t>
      </w:r>
      <w:r w:rsidR="00B855B5">
        <w:t>me</w:t>
      </w:r>
      <w:r>
        <w:t xml:space="preserve"> teams, the function moves from box-ticking to value creation.</w:t>
      </w:r>
    </w:p>
    <w:p w14:paraId="72AE125C" w14:textId="77777777" w:rsidR="00266860" w:rsidRDefault="00266860" w:rsidP="00266860">
      <w:pPr>
        <w:spacing w:after="0" w:line="240" w:lineRule="auto"/>
      </w:pPr>
    </w:p>
    <w:p w14:paraId="1B0348FD" w14:textId="54EE0131" w:rsidR="00266860" w:rsidRDefault="009865E7" w:rsidP="00266860">
      <w:pPr>
        <w:spacing w:after="0" w:line="240" w:lineRule="auto"/>
      </w:pPr>
      <w:r>
        <w:t>INTEGRATING PARTICIPATORY APPROACHES AND LOCAL KNOWLEDGE</w:t>
      </w:r>
    </w:p>
    <w:p w14:paraId="598278E5" w14:textId="76CB20B5" w:rsidR="00266860" w:rsidRDefault="00266860" w:rsidP="00266860">
      <w:pPr>
        <w:spacing w:after="0" w:line="240" w:lineRule="auto"/>
      </w:pPr>
      <w:r>
        <w:t>Top-down M&amp;E risks missing crucial contextual insights. Participatory M&amp;E methods that involve beneficiaries, community leaders, and frontline workers ensure that indicators are relevant and that data reflect realities on the ground. Participatory approaches increase trust, improve data quality, and support accountability by enabling communities to monitor service delivery and hold implementers to account. Local knowledge often explains why interventions succeed or fail</w:t>
      </w:r>
      <w:r w:rsidR="00714957">
        <w:t xml:space="preserve">, while </w:t>
      </w:r>
      <w:r>
        <w:t>bringing that knowledge into M&amp;E systems enriches interpretation and improves program</w:t>
      </w:r>
      <w:r w:rsidR="00B855B5">
        <w:t>me</w:t>
      </w:r>
      <w:r>
        <w:t xml:space="preserve"> adaptation.</w:t>
      </w:r>
    </w:p>
    <w:p w14:paraId="7D64CAD2" w14:textId="77777777" w:rsidR="00266860" w:rsidRDefault="00266860" w:rsidP="00266860">
      <w:pPr>
        <w:spacing w:after="0" w:line="240" w:lineRule="auto"/>
      </w:pPr>
    </w:p>
    <w:p w14:paraId="1EC5CE21" w14:textId="144627CC" w:rsidR="00266860" w:rsidRDefault="009865E7" w:rsidP="00266860">
      <w:pPr>
        <w:spacing w:after="0" w:line="240" w:lineRule="auto"/>
      </w:pPr>
      <w:r>
        <w:t>BUILDING A CULTURE OF DATA USE AND EVIDENCE-INFORMED DECISION-MAKING</w:t>
      </w:r>
    </w:p>
    <w:p w14:paraId="78219F95" w14:textId="64A65AA2" w:rsidR="00266860" w:rsidRDefault="00266860" w:rsidP="00266860">
      <w:pPr>
        <w:spacing w:after="0" w:line="240" w:lineRule="auto"/>
      </w:pPr>
      <w:r>
        <w:t xml:space="preserve">Data collection alone is </w:t>
      </w:r>
      <w:r w:rsidR="00372DB5">
        <w:t>not enough</w:t>
      </w:r>
      <w:r>
        <w:t>. The real value of M&amp;E is realized when data are interpreted and used to inform decisions. Leaders must cultivate a culture where evidence is actively sought and acted upon. This involves routine data review meetings, decision-focused dashboards, and clear protocols for how monitoring findings trigger management responses. Promoting accessible visualizations and concise policy briefs helps translate technical findings into actionable recommendations for policymakers and funders.</w:t>
      </w:r>
    </w:p>
    <w:p w14:paraId="3CF41263" w14:textId="77777777" w:rsidR="00266860" w:rsidRDefault="00266860" w:rsidP="00266860">
      <w:pPr>
        <w:spacing w:after="0" w:line="240" w:lineRule="auto"/>
      </w:pPr>
    </w:p>
    <w:p w14:paraId="7A723228" w14:textId="3A6061A7" w:rsidR="00266860" w:rsidRDefault="00A41111" w:rsidP="00266860">
      <w:pPr>
        <w:spacing w:after="0" w:line="240" w:lineRule="auto"/>
      </w:pPr>
      <w:r>
        <w:t>LEVERAGING EVALUATION FOR ACCOUNTABILITY AND LEARNING</w:t>
      </w:r>
    </w:p>
    <w:p w14:paraId="04D4D4C6" w14:textId="4AE1ECC6" w:rsidR="00266860" w:rsidRDefault="00266860" w:rsidP="00266860">
      <w:pPr>
        <w:spacing w:after="0" w:line="240" w:lineRule="auto"/>
      </w:pPr>
      <w:r>
        <w:t>Monitoring provides continuous feedback</w:t>
      </w:r>
      <w:r w:rsidR="003333B3">
        <w:t>, while</w:t>
      </w:r>
      <w:r>
        <w:t xml:space="preserve"> evaluation provides rigorous assessments of effectiveness and value for money. Both are crucial. Evaluations—whether formative, summative, or impact-focused—should be designed with clear questions that address causality, equity, and sustainability. Independent evaluations enhance credibility and can uncover unintended consequences. Crucially, evaluation findings should feed back into policy cycles, informing scale-up decisions, design revisions, and resource prioritization. Treat evaluations as learning instruments, not just audit exercises.</w:t>
      </w:r>
    </w:p>
    <w:p w14:paraId="73F357F0" w14:textId="77777777" w:rsidR="00266860" w:rsidRDefault="00266860" w:rsidP="00266860">
      <w:pPr>
        <w:spacing w:after="0" w:line="240" w:lineRule="auto"/>
      </w:pPr>
    </w:p>
    <w:p w14:paraId="5981923D" w14:textId="70107FAA" w:rsidR="00266860" w:rsidRDefault="00A41111" w:rsidP="00266860">
      <w:pPr>
        <w:spacing w:after="0" w:line="240" w:lineRule="auto"/>
      </w:pPr>
      <w:r>
        <w:t>ENSURING EQUITY AND GENDER-SENSITIVE ‘M&amp;E’</w:t>
      </w:r>
    </w:p>
    <w:p w14:paraId="15B65D7B" w14:textId="1F8C4D6B" w:rsidR="00266860" w:rsidRDefault="00266860" w:rsidP="00266860">
      <w:pPr>
        <w:spacing w:after="0" w:line="240" w:lineRule="auto"/>
      </w:pPr>
      <w:r>
        <w:t>Effective M&amp;E must illuminate disparities. Disaggregating data by gender, age, disability, geography, and socioeconomic status ensures that program</w:t>
      </w:r>
      <w:r w:rsidR="00B855B5">
        <w:t>me</w:t>
      </w:r>
      <w:r>
        <w:t>s do not inadvertently widen inequalities. Gender-sensitive indicators and equity-focused evaluation questions reveal who benefits and who is left behind. Where inequities are identified, M&amp;E should recommend targeted adaptations to improve access and outcomes for marginalized groups.</w:t>
      </w:r>
    </w:p>
    <w:p w14:paraId="102D010B" w14:textId="77777777" w:rsidR="00266860" w:rsidRDefault="00266860" w:rsidP="00266860">
      <w:pPr>
        <w:spacing w:after="0" w:line="240" w:lineRule="auto"/>
      </w:pPr>
    </w:p>
    <w:p w14:paraId="298DAFCE" w14:textId="34523F95" w:rsidR="00266860" w:rsidRDefault="00A41111" w:rsidP="00266860">
      <w:pPr>
        <w:spacing w:after="0" w:line="240" w:lineRule="auto"/>
      </w:pPr>
      <w:r>
        <w:lastRenderedPageBreak/>
        <w:t>RESOURCE ALLOCATION AND SUSTAINABILITY OF ‘M&amp;E’ SYSTEMS</w:t>
      </w:r>
    </w:p>
    <w:p w14:paraId="409C569C" w14:textId="77777777" w:rsidR="00266860" w:rsidRDefault="00266860" w:rsidP="00266860">
      <w:pPr>
        <w:spacing w:after="0" w:line="240" w:lineRule="auto"/>
      </w:pPr>
      <w:r>
        <w:t>Sustainable M&amp;E requires predictable funding. Too often, M&amp;E is the first line item cut when budgets tighten. Instead, domestic and donor budgets should allocate dedicated resources for M&amp;E infrastructure, staffing, and operations. Investing in local ownership—building national M&amp;E units and integrating M&amp;E responsibilities into line ministries—reduces reliance on external consultants and strengthens institutional memory. Sustainability also means investing in technologies and maintenance rather than one-off tools.</w:t>
      </w:r>
    </w:p>
    <w:p w14:paraId="48B371EB" w14:textId="77777777" w:rsidR="00266860" w:rsidRDefault="00266860" w:rsidP="00266860">
      <w:pPr>
        <w:spacing w:after="0" w:line="240" w:lineRule="auto"/>
      </w:pPr>
    </w:p>
    <w:p w14:paraId="272616A5" w14:textId="7B485F16" w:rsidR="00266860" w:rsidRDefault="00A41111" w:rsidP="00266860">
      <w:pPr>
        <w:spacing w:after="0" w:line="240" w:lineRule="auto"/>
      </w:pPr>
      <w:r>
        <w:t>ETHICS, PRIVACY AND RESPONSIBLE DATA USE</w:t>
      </w:r>
    </w:p>
    <w:p w14:paraId="4D925C51" w14:textId="0506ADEC" w:rsidR="00266860" w:rsidRDefault="00266860" w:rsidP="00266860">
      <w:pPr>
        <w:spacing w:after="0" w:line="240" w:lineRule="auto"/>
      </w:pPr>
      <w:r>
        <w:t>As data systems expand, ethical safeguards are paramount. Protecting privacy, ensuring informed consent, and implementing secure data storage practices are non-negotiable. Data governance frameworks must define who can access data, how data will be used, and how sensitive information will be protected. Ethical M&amp;E safeguards the dignity of participants and maintains public trust—essential for long-term program</w:t>
      </w:r>
      <w:r w:rsidR="00B855B5">
        <w:t>me</w:t>
      </w:r>
      <w:r>
        <w:t xml:space="preserve"> success.</w:t>
      </w:r>
    </w:p>
    <w:p w14:paraId="02EC5E2E" w14:textId="77777777" w:rsidR="00266860" w:rsidRDefault="00266860" w:rsidP="00266860">
      <w:pPr>
        <w:spacing w:after="0" w:line="240" w:lineRule="auto"/>
      </w:pPr>
    </w:p>
    <w:p w14:paraId="40E5BA84" w14:textId="77D5B08B" w:rsidR="00266860" w:rsidRDefault="00A41111" w:rsidP="00266860">
      <w:pPr>
        <w:spacing w:after="0" w:line="240" w:lineRule="auto"/>
      </w:pPr>
      <w:r>
        <w:t>PARTNERSHIPS AND MULTI-STAKEHOLDER COLLABORATION</w:t>
      </w:r>
    </w:p>
    <w:p w14:paraId="21F622ED" w14:textId="77777777" w:rsidR="00266860" w:rsidRDefault="00266860" w:rsidP="00266860">
      <w:pPr>
        <w:spacing w:after="0" w:line="240" w:lineRule="auto"/>
      </w:pPr>
      <w:r>
        <w:t>No single institution can do M&amp;E alone. Strong M&amp;E benefits from partnerships among government, civil society, academia, donors and the private sector. Academic institutions bring methodological rigor; civil society offers grassroots insights and accountability mechanisms; the private sector can provide technological platforms and analytics. Multi-stakeholder M&amp;E coalitions ensure that findings are robust, relevant, and widely owned.</w:t>
      </w:r>
    </w:p>
    <w:p w14:paraId="7AA690E5" w14:textId="77777777" w:rsidR="00266860" w:rsidRDefault="00266860" w:rsidP="00266860">
      <w:pPr>
        <w:spacing w:after="0" w:line="240" w:lineRule="auto"/>
      </w:pPr>
    </w:p>
    <w:p w14:paraId="6311A73C" w14:textId="25253E43" w:rsidR="00266860" w:rsidRDefault="00A41111" w:rsidP="00266860">
      <w:pPr>
        <w:spacing w:after="0" w:line="240" w:lineRule="auto"/>
      </w:pPr>
      <w:r>
        <w:t>FROM EVIDENCE TO IMPACT: CLOSING THE FEEDBACK LOOP</w:t>
      </w:r>
    </w:p>
    <w:p w14:paraId="1FA5F985" w14:textId="77777777" w:rsidR="00266860" w:rsidRDefault="00266860" w:rsidP="00266860">
      <w:pPr>
        <w:spacing w:after="0" w:line="240" w:lineRule="auto"/>
      </w:pPr>
      <w:r>
        <w:t>Finally, the ultimate purpose of M&amp;E is impact. That requires closing the feedback loop: monitoring and evaluation findings must lead to concrete changes—policy adjustments, reallocated resources, redesigned interventions, or scale-up of successful approaches. Documenting these management decisions and their consequences builds a virtuous cycle where evidence informs practice, practice generates data, and data produce stronger evidence.</w:t>
      </w:r>
    </w:p>
    <w:p w14:paraId="3D622448" w14:textId="77777777" w:rsidR="00266860" w:rsidRDefault="00266860" w:rsidP="00266860">
      <w:pPr>
        <w:spacing w:after="0" w:line="240" w:lineRule="auto"/>
      </w:pPr>
    </w:p>
    <w:p w14:paraId="7916A423" w14:textId="40FE7261" w:rsidR="00266860" w:rsidRDefault="00A41111" w:rsidP="00266860">
      <w:pPr>
        <w:spacing w:after="0" w:line="240" w:lineRule="auto"/>
      </w:pPr>
      <w:r>
        <w:t>CONCLUSION</w:t>
      </w:r>
    </w:p>
    <w:p w14:paraId="49DFAA23" w14:textId="116F66A3" w:rsidR="00266860" w:rsidRDefault="00266860" w:rsidP="00266860">
      <w:pPr>
        <w:spacing w:after="0" w:line="240" w:lineRule="auto"/>
      </w:pPr>
      <w:r>
        <w:t>Strengthening M&amp;E is an investment in effectiveness, transparency and accountability. It transforms program</w:t>
      </w:r>
      <w:r w:rsidR="00B855B5">
        <w:t>me</w:t>
      </w:r>
      <w:r>
        <w:t>s from static blueprints into adaptive systems that learn and improve. For policymakers, practitioners and donors committed to results, robust M&amp;E is the roadmap from intention to impact. By embedding M&amp;E at every stage—design, implementation, evaluation and scale-up—stakeholders can ensure that policies, programmes and projects deliver measurable, equitable and sustainable benefits for the communities they serve.</w:t>
      </w:r>
    </w:p>
    <w:p w14:paraId="248EE5CC" w14:textId="77777777" w:rsidR="00266860" w:rsidRDefault="00266860" w:rsidP="00266860">
      <w:pPr>
        <w:spacing w:after="0" w:line="240" w:lineRule="auto"/>
      </w:pPr>
    </w:p>
    <w:p w14:paraId="3613D2C0" w14:textId="0718C4CB" w:rsidR="00DF129D" w:rsidRDefault="00DF129D" w:rsidP="00266860">
      <w:pPr>
        <w:spacing w:after="0" w:line="240" w:lineRule="auto"/>
      </w:pPr>
    </w:p>
    <w:p w14:paraId="5919D609" w14:textId="77777777" w:rsidR="0045034B" w:rsidRPr="0045034B" w:rsidRDefault="0045034B" w:rsidP="0045034B">
      <w:pPr>
        <w:spacing w:after="0" w:line="240" w:lineRule="auto"/>
        <w:rPr>
          <w:lang w:val="en-NG"/>
        </w:rPr>
      </w:pPr>
      <w:r w:rsidRPr="0045034B">
        <w:rPr>
          <w:b/>
          <w:bCs/>
        </w:rPr>
        <w:t>About the Trainer/Facilitator: </w:t>
      </w:r>
    </w:p>
    <w:p w14:paraId="7A487A4C" w14:textId="42EF2C24" w:rsidR="0045034B" w:rsidRDefault="0045034B" w:rsidP="00266860">
      <w:pPr>
        <w:spacing w:after="0" w:line="240" w:lineRule="auto"/>
      </w:pPr>
      <w:r w:rsidRPr="0045034B">
        <w:rPr>
          <w:i/>
          <w:iCs/>
        </w:rPr>
        <w:t xml:space="preserve">Dr. Uzodinma Adirieje is a distinguished expert in Monitoring and Evaluation (M&amp;E), renowned for his leadership, technical expertise, and commitment to strengthening evidence-based development across Africa and beyond. A pioneer Fellow and former National President of the Nigerian Association of Evaluators (NAE), he has been pivotal in advancing evaluation professionalism and institutionalization in Nigeria. As National Consultant to UNICEF and the Federal Ministry of Budget and National Planning, Dr. Adirieje drafted Nigeria’s National Monitoring and Evaluation Policy and served as Consultant for Nigeria’s first SDG-3 Synthesis Report. He also played leadership and technical roles in Nigeria’s first national evaluations of SDG 3 (Health) and SDG 4 (Education). A professional trainer/facilitator and accredited ‘Trainer of Trainers’ by the Federal Government of Nigeria, Dr. Adirieje is deeply involved in </w:t>
      </w:r>
      <w:r w:rsidRPr="0045034B">
        <w:rPr>
          <w:i/>
          <w:iCs/>
        </w:rPr>
        <w:lastRenderedPageBreak/>
        <w:t>capacity building for M&amp;E practitioners. An active member of the African Evaluation Association (AfrEA), he continues to promote accountability, learning, and sustainable development through results-based M&amp;E practice in Africa. </w:t>
      </w:r>
    </w:p>
    <w:sectPr w:rsidR="0045034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034F" w14:textId="77777777" w:rsidR="001B75F5" w:rsidRDefault="001B75F5" w:rsidP="005B3535">
      <w:pPr>
        <w:spacing w:after="0" w:line="240" w:lineRule="auto"/>
      </w:pPr>
      <w:r>
        <w:separator/>
      </w:r>
    </w:p>
  </w:endnote>
  <w:endnote w:type="continuationSeparator" w:id="0">
    <w:p w14:paraId="198A327E" w14:textId="77777777" w:rsidR="001B75F5" w:rsidRDefault="001B75F5" w:rsidP="005B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09774"/>
      <w:docPartObj>
        <w:docPartGallery w:val="Page Numbers (Bottom of Page)"/>
        <w:docPartUnique/>
      </w:docPartObj>
    </w:sdtPr>
    <w:sdtEndPr>
      <w:rPr>
        <w:color w:val="7F7F7F" w:themeColor="background1" w:themeShade="7F"/>
        <w:spacing w:val="60"/>
      </w:rPr>
    </w:sdtEndPr>
    <w:sdtContent>
      <w:p w14:paraId="20CEB41D" w14:textId="2D74C226" w:rsidR="005B3535" w:rsidRDefault="005B353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37C4DE" w14:textId="77777777" w:rsidR="005B3535" w:rsidRDefault="005B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1B0B" w14:textId="77777777" w:rsidR="001B75F5" w:rsidRDefault="001B75F5" w:rsidP="005B3535">
      <w:pPr>
        <w:spacing w:after="0" w:line="240" w:lineRule="auto"/>
      </w:pPr>
      <w:r>
        <w:separator/>
      </w:r>
    </w:p>
  </w:footnote>
  <w:footnote w:type="continuationSeparator" w:id="0">
    <w:p w14:paraId="76DF597C" w14:textId="77777777" w:rsidR="001B75F5" w:rsidRDefault="001B75F5" w:rsidP="005B3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6AF2"/>
    <w:multiLevelType w:val="hybridMultilevel"/>
    <w:tmpl w:val="296EA49E"/>
    <w:lvl w:ilvl="0" w:tplc="193ECD3C">
      <w:start w:val="5"/>
      <w:numFmt w:val="bullet"/>
      <w:lvlText w:val="-"/>
      <w:lvlJc w:val="left"/>
      <w:pPr>
        <w:ind w:left="720" w:hanging="360"/>
      </w:pPr>
      <w:rPr>
        <w:rFonts w:ascii="Calibri" w:eastAsiaTheme="minorHAnsi" w:hAnsi="Calibri" w:cs="Calibri"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04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60"/>
    <w:rsid w:val="00092297"/>
    <w:rsid w:val="00096750"/>
    <w:rsid w:val="0012566C"/>
    <w:rsid w:val="00160EA7"/>
    <w:rsid w:val="001B75F5"/>
    <w:rsid w:val="00266860"/>
    <w:rsid w:val="00280B5A"/>
    <w:rsid w:val="003333B3"/>
    <w:rsid w:val="00343D91"/>
    <w:rsid w:val="00372DB5"/>
    <w:rsid w:val="003B4842"/>
    <w:rsid w:val="004353B0"/>
    <w:rsid w:val="0045034B"/>
    <w:rsid w:val="004765E0"/>
    <w:rsid w:val="00484496"/>
    <w:rsid w:val="004C5EDA"/>
    <w:rsid w:val="00556E43"/>
    <w:rsid w:val="005B3535"/>
    <w:rsid w:val="005D6AC4"/>
    <w:rsid w:val="00697570"/>
    <w:rsid w:val="00714957"/>
    <w:rsid w:val="007C2023"/>
    <w:rsid w:val="007D2ADE"/>
    <w:rsid w:val="007E7C95"/>
    <w:rsid w:val="0086018F"/>
    <w:rsid w:val="009865E7"/>
    <w:rsid w:val="00A02A53"/>
    <w:rsid w:val="00A41111"/>
    <w:rsid w:val="00B47232"/>
    <w:rsid w:val="00B855B5"/>
    <w:rsid w:val="00BA25AB"/>
    <w:rsid w:val="00D6471F"/>
    <w:rsid w:val="00DF129D"/>
    <w:rsid w:val="00EB4573"/>
    <w:rsid w:val="00F43601"/>
    <w:rsid w:val="00FA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A4B1"/>
  <w15:chartTrackingRefBased/>
  <w15:docId w15:val="{67836712-C492-4206-9DC7-2B355FE6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8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668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686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686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6686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66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668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668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68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668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66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860"/>
    <w:rPr>
      <w:rFonts w:eastAsiaTheme="majorEastAsia" w:cstheme="majorBidi"/>
      <w:color w:val="272727" w:themeColor="text1" w:themeTint="D8"/>
    </w:rPr>
  </w:style>
  <w:style w:type="paragraph" w:styleId="Title">
    <w:name w:val="Title"/>
    <w:basedOn w:val="Normal"/>
    <w:next w:val="Normal"/>
    <w:link w:val="TitleChar"/>
    <w:uiPriority w:val="10"/>
    <w:qFormat/>
    <w:rsid w:val="0026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860"/>
    <w:pPr>
      <w:spacing w:before="160"/>
      <w:jc w:val="center"/>
    </w:pPr>
    <w:rPr>
      <w:i/>
      <w:iCs/>
      <w:color w:val="404040" w:themeColor="text1" w:themeTint="BF"/>
    </w:rPr>
  </w:style>
  <w:style w:type="character" w:customStyle="1" w:styleId="QuoteChar">
    <w:name w:val="Quote Char"/>
    <w:basedOn w:val="DefaultParagraphFont"/>
    <w:link w:val="Quote"/>
    <w:uiPriority w:val="29"/>
    <w:rsid w:val="00266860"/>
    <w:rPr>
      <w:i/>
      <w:iCs/>
      <w:color w:val="404040" w:themeColor="text1" w:themeTint="BF"/>
    </w:rPr>
  </w:style>
  <w:style w:type="paragraph" w:styleId="ListParagraph">
    <w:name w:val="List Paragraph"/>
    <w:basedOn w:val="Normal"/>
    <w:uiPriority w:val="34"/>
    <w:qFormat/>
    <w:rsid w:val="00266860"/>
    <w:pPr>
      <w:ind w:left="720"/>
      <w:contextualSpacing/>
    </w:pPr>
  </w:style>
  <w:style w:type="character" w:styleId="IntenseEmphasis">
    <w:name w:val="Intense Emphasis"/>
    <w:basedOn w:val="DefaultParagraphFont"/>
    <w:uiPriority w:val="21"/>
    <w:qFormat/>
    <w:rsid w:val="00266860"/>
    <w:rPr>
      <w:i/>
      <w:iCs/>
      <w:color w:val="2E74B5" w:themeColor="accent1" w:themeShade="BF"/>
    </w:rPr>
  </w:style>
  <w:style w:type="paragraph" w:styleId="IntenseQuote">
    <w:name w:val="Intense Quote"/>
    <w:basedOn w:val="Normal"/>
    <w:next w:val="Normal"/>
    <w:link w:val="IntenseQuoteChar"/>
    <w:uiPriority w:val="30"/>
    <w:qFormat/>
    <w:rsid w:val="002668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6860"/>
    <w:rPr>
      <w:i/>
      <w:iCs/>
      <w:color w:val="2E74B5" w:themeColor="accent1" w:themeShade="BF"/>
    </w:rPr>
  </w:style>
  <w:style w:type="character" w:styleId="IntenseReference">
    <w:name w:val="Intense Reference"/>
    <w:basedOn w:val="DefaultParagraphFont"/>
    <w:uiPriority w:val="32"/>
    <w:qFormat/>
    <w:rsid w:val="00266860"/>
    <w:rPr>
      <w:b/>
      <w:bCs/>
      <w:smallCaps/>
      <w:color w:val="2E74B5" w:themeColor="accent1" w:themeShade="BF"/>
      <w:spacing w:val="5"/>
    </w:rPr>
  </w:style>
  <w:style w:type="character" w:styleId="Hyperlink">
    <w:name w:val="Hyperlink"/>
    <w:basedOn w:val="DefaultParagraphFont"/>
    <w:uiPriority w:val="99"/>
    <w:unhideWhenUsed/>
    <w:rsid w:val="009865E7"/>
    <w:rPr>
      <w:color w:val="0563C1" w:themeColor="hyperlink"/>
      <w:u w:val="single"/>
    </w:rPr>
  </w:style>
  <w:style w:type="paragraph" w:styleId="Header">
    <w:name w:val="header"/>
    <w:basedOn w:val="Normal"/>
    <w:link w:val="HeaderChar"/>
    <w:uiPriority w:val="99"/>
    <w:unhideWhenUsed/>
    <w:rsid w:val="005B3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535"/>
  </w:style>
  <w:style w:type="paragraph" w:styleId="Footer">
    <w:name w:val="footer"/>
    <w:basedOn w:val="Normal"/>
    <w:link w:val="FooterChar"/>
    <w:uiPriority w:val="99"/>
    <w:unhideWhenUsed/>
    <w:rsid w:val="005B3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zoadirieje" TargetMode="External"/><Relationship Id="rId3" Type="http://schemas.openxmlformats.org/officeDocument/2006/relationships/settings" Target="settings.xml"/><Relationship Id="rId7" Type="http://schemas.openxmlformats.org/officeDocument/2006/relationships/hyperlink" Target="mailto:druzoadirieje20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Uzodinma Adirieje</dc:creator>
  <cp:keywords/>
  <dc:description/>
  <cp:lastModifiedBy>Dr. Uzodinma Adirieje</cp:lastModifiedBy>
  <cp:revision>29</cp:revision>
  <cp:lastPrinted>2025-10-14T06:40:00Z</cp:lastPrinted>
  <dcterms:created xsi:type="dcterms:W3CDTF">2025-10-10T10:49:00Z</dcterms:created>
  <dcterms:modified xsi:type="dcterms:W3CDTF">2025-10-14T06:42:00Z</dcterms:modified>
</cp:coreProperties>
</file>